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日常运维经费-北京市第四十四中学-运行管理费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通过补充食堂经费，能够保证教学工作顺利开展，改善师生用餐品质。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按照与餐饮公司签订合同完成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保证饭菜品质，卫生达标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按照合同支付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上下半年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上下半年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98万元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98万元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有利于师生健康发展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9D53DF9"/>
    <w:rsid w:val="53045FAA"/>
    <w:rsid w:val="7D56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7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0B44A32A8185481792B430E354BDBA22_12</vt:lpwstr>
  </property>
</Properties>
</file>